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590A" w:rsidRPr="00E84A6B" w:rsidRDefault="005553AF" w:rsidP="00E84A6B">
      <w:pPr>
        <w:snapToGrid w:val="0"/>
        <w:spacing w:beforeLines="50" w:before="156" w:afterLines="50" w:after="156" w:line="360" w:lineRule="auto"/>
        <w:contextualSpacing/>
        <w:jc w:val="center"/>
        <w:rPr>
          <w:rFonts w:asciiTheme="minorEastAsia" w:hAnsiTheme="minorEastAsia" w:cstheme="minorEastAsia" w:hint="eastAsia"/>
          <w:b/>
          <w:bCs/>
          <w:sz w:val="30"/>
          <w:szCs w:val="30"/>
        </w:rPr>
      </w:pPr>
      <w:r w:rsidRPr="00E84A6B">
        <w:rPr>
          <w:rFonts w:asciiTheme="minorEastAsia" w:hAnsiTheme="minorEastAsia" w:cstheme="minorEastAsia" w:hint="eastAsia"/>
          <w:b/>
          <w:bCs/>
          <w:sz w:val="30"/>
          <w:szCs w:val="30"/>
        </w:rPr>
        <w:t>关于开展学生参加</w:t>
      </w:r>
      <w:r w:rsidR="0074590A" w:rsidRPr="00E84A6B">
        <w:rPr>
          <w:rFonts w:asciiTheme="minorEastAsia" w:hAnsiTheme="minorEastAsia" w:cstheme="minorEastAsia" w:hint="eastAsia"/>
          <w:b/>
          <w:bCs/>
          <w:sz w:val="30"/>
          <w:szCs w:val="30"/>
        </w:rPr>
        <w:t>2</w:t>
      </w:r>
      <w:r w:rsidR="0074590A" w:rsidRPr="00E84A6B">
        <w:rPr>
          <w:rFonts w:asciiTheme="minorEastAsia" w:hAnsiTheme="minorEastAsia" w:cstheme="minorEastAsia"/>
          <w:b/>
          <w:bCs/>
          <w:sz w:val="30"/>
          <w:szCs w:val="30"/>
        </w:rPr>
        <w:t>02</w:t>
      </w:r>
      <w:r w:rsidR="00830275" w:rsidRPr="00E84A6B">
        <w:rPr>
          <w:rFonts w:asciiTheme="minorEastAsia" w:hAnsiTheme="minorEastAsia" w:cstheme="minorEastAsia" w:hint="eastAsia"/>
          <w:b/>
          <w:bCs/>
          <w:sz w:val="30"/>
          <w:szCs w:val="30"/>
        </w:rPr>
        <w:t>5</w:t>
      </w:r>
      <w:r w:rsidR="0074590A" w:rsidRPr="00E84A6B">
        <w:rPr>
          <w:rFonts w:asciiTheme="minorEastAsia" w:hAnsiTheme="minorEastAsia" w:cstheme="minorEastAsia"/>
          <w:b/>
          <w:bCs/>
          <w:sz w:val="30"/>
          <w:szCs w:val="30"/>
        </w:rPr>
        <w:t>年度</w:t>
      </w:r>
      <w:r w:rsidR="0074590A" w:rsidRPr="00E84A6B">
        <w:rPr>
          <w:rFonts w:asciiTheme="minorEastAsia" w:hAnsiTheme="minorEastAsia" w:cstheme="minorEastAsia" w:hint="eastAsia"/>
          <w:b/>
          <w:bCs/>
          <w:sz w:val="30"/>
          <w:szCs w:val="30"/>
        </w:rPr>
        <w:t>宁波市城乡居民基本医疗保险</w:t>
      </w:r>
      <w:r w:rsidRPr="00E84A6B">
        <w:rPr>
          <w:rFonts w:asciiTheme="minorEastAsia" w:hAnsiTheme="minorEastAsia" w:cstheme="minorEastAsia" w:hint="eastAsia"/>
          <w:b/>
          <w:bCs/>
          <w:sz w:val="30"/>
          <w:szCs w:val="30"/>
        </w:rPr>
        <w:t>的通知</w:t>
      </w:r>
    </w:p>
    <w:p w:rsidR="0074590A" w:rsidRPr="00830275" w:rsidRDefault="0074590A" w:rsidP="0074590A">
      <w:pPr>
        <w:snapToGrid w:val="0"/>
        <w:spacing w:beforeLines="50" w:before="156" w:afterLines="50" w:after="156" w:line="360" w:lineRule="auto"/>
        <w:contextualSpacing/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48544B" w:rsidRPr="00E84A6B" w:rsidRDefault="005553AF" w:rsidP="0074590A">
      <w:pPr>
        <w:snapToGrid w:val="0"/>
        <w:spacing w:beforeLines="50" w:before="156" w:afterLines="50" w:after="156" w:line="360" w:lineRule="auto"/>
        <w:contextualSpacing/>
        <w:rPr>
          <w:rFonts w:asciiTheme="minorEastAsia" w:hAnsiTheme="minorEastAsia" w:cstheme="minorEastAsia" w:hint="eastAsia"/>
          <w:b/>
          <w:bCs/>
          <w:sz w:val="24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</w:rPr>
        <w:t>各学院：</w:t>
      </w:r>
    </w:p>
    <w:p w:rsidR="0048544B" w:rsidRPr="00E84A6B" w:rsidRDefault="005553AF" w:rsidP="00830275">
      <w:pPr>
        <w:widowControl/>
        <w:spacing w:before="75" w:after="75" w:line="495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根据宁波市《</w:t>
      </w:r>
      <w:r w:rsidR="00830275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致大学生的一封信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》的</w:t>
      </w:r>
      <w:r w:rsidR="00830275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通知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精神，为进一步做好我校学生参加</w:t>
      </w:r>
      <w:r w:rsidR="00B8662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宁波市城乡居民基本医疗保险</w:t>
      </w:r>
      <w:r w:rsidR="00E945CD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390413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参保工作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，保障学生的切身利益，现将相关事项通知如下：</w:t>
      </w:r>
    </w:p>
    <w:p w:rsidR="0048544B" w:rsidRPr="00E84A6B" w:rsidRDefault="00830275">
      <w:pPr>
        <w:widowControl/>
        <w:spacing w:before="75" w:after="75" w:line="49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一、</w:t>
      </w:r>
      <w:r w:rsidR="005553AF"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参保</w:t>
      </w:r>
      <w:r w:rsidR="005D3196"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方式</w:t>
      </w:r>
      <w:r w:rsidR="005553AF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：</w:t>
      </w:r>
    </w:p>
    <w:p w:rsidR="0048544B" w:rsidRPr="00E84A6B" w:rsidRDefault="005553AF">
      <w:pPr>
        <w:widowControl/>
        <w:spacing w:before="75" w:after="75" w:line="495" w:lineRule="atLeast"/>
        <w:ind w:firstLine="555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1、</w:t>
      </w:r>
      <w:r w:rsidR="00677981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新增参保</w:t>
      </w:r>
      <w:r w:rsid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学生</w:t>
      </w:r>
      <w:r w:rsidR="00677981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：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具有我校全日制学籍的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202</w:t>
      </w:r>
      <w:r w:rsidR="00830275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4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级新生</w:t>
      </w:r>
      <w:r w:rsidR="00970187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（包括专升本）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和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未参加202</w:t>
      </w:r>
      <w:r w:rsidR="00830275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4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年宁波市城乡居民医疗保险的老生（本科生）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：如需</w:t>
      </w:r>
      <w:r w:rsidR="005D319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参加2</w:t>
      </w:r>
      <w:r w:rsidR="005D3196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0</w:t>
      </w:r>
      <w:r w:rsidR="005D319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830275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5D3196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年宁波市医保</w:t>
      </w:r>
      <w:r w:rsidR="00C25FE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请于</w:t>
      </w:r>
      <w:r w:rsidR="00C25FEF" w:rsidRPr="00E84A6B"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FFFFF"/>
        </w:rPr>
        <w:t>10月2</w:t>
      </w:r>
      <w:r w:rsidR="002E3804"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4</w:t>
      </w:r>
      <w:r w:rsidR="00C25FEF" w:rsidRPr="00E84A6B">
        <w:rPr>
          <w:rFonts w:ascii="宋体" w:eastAsia="宋体" w:hAnsi="宋体" w:cs="宋体"/>
          <w:b/>
          <w:bCs/>
          <w:color w:val="000000"/>
          <w:kern w:val="0"/>
          <w:sz w:val="24"/>
          <w:shd w:val="clear" w:color="auto" w:fill="FFFFFF"/>
        </w:rPr>
        <w:t>日</w:t>
      </w:r>
      <w:r w:rsidR="00C25FE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前</w:t>
      </w:r>
      <w:r w:rsidR="005D319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填报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附件1：《</w:t>
      </w:r>
      <w:r w:rsid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新增学生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参加202</w:t>
      </w:r>
      <w:r w:rsidR="002E3804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5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年宁波</w:t>
      </w:r>
      <w:r w:rsidR="009C0000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市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医保汇总</w:t>
      </w:r>
      <w:r w:rsid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表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》</w:t>
      </w:r>
      <w:r w:rsidR="00C25FEF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p w:rsidR="002E3804" w:rsidRPr="00E84A6B" w:rsidRDefault="005553AF">
      <w:pPr>
        <w:widowControl/>
        <w:spacing w:before="75" w:after="75" w:line="495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5D319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、</w:t>
      </w:r>
      <w:r w:rsidR="00677981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续费参保学生：</w:t>
      </w:r>
      <w:r w:rsidR="005D319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具有我校全日制学籍的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已参加过2</w:t>
      </w:r>
      <w:r w:rsidR="005D3196" w:rsidRPr="00E84A6B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02</w:t>
      </w:r>
      <w:r w:rsidR="002E3804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4</w:t>
      </w:r>
      <w:r w:rsidR="005D3196" w:rsidRPr="00E84A6B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年度宁波市医保的老生</w:t>
      </w:r>
      <w:r w:rsidR="005D3196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（本科生）</w:t>
      </w:r>
      <w:r w:rsidR="005D3196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：</w:t>
      </w:r>
      <w:r w:rsidR="002E380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原则上继续参加</w:t>
      </w:r>
      <w:r w:rsidR="001F0360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1F0360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02</w:t>
      </w:r>
      <w:r w:rsidR="002E380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1F0360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年宁波市医保，</w:t>
      </w:r>
      <w:r w:rsidR="005D3196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等市里开通大学生缴费渠道后，</w:t>
      </w:r>
      <w:r w:rsidR="002E380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自助</w:t>
      </w:r>
      <w:r w:rsidR="005D3196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缴费即可参保成功。</w:t>
      </w:r>
    </w:p>
    <w:p w:rsidR="0048544B" w:rsidRPr="00E84A6B" w:rsidRDefault="005D3196">
      <w:pPr>
        <w:widowControl/>
        <w:spacing w:before="75" w:after="75" w:line="495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3、</w:t>
      </w:r>
      <w:r w:rsidR="005553A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根据省市相关部门要求，浙江省内只能</w:t>
      </w:r>
      <w:r w:rsidR="005553AF" w:rsidRPr="00E84A6B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选择一地参保</w:t>
      </w:r>
      <w:r w:rsidR="002E3804"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  <w:r w:rsidR="005553A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省内参加了除宁波以外</w:t>
      </w:r>
      <w:r w:rsidR="005553AF" w:rsidRPr="00E84A6B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其他城市</w:t>
      </w:r>
      <w:r w:rsidR="005553AF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202</w:t>
      </w:r>
      <w:r w:rsidR="002E380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5553AF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年度</w:t>
      </w:r>
      <w:r w:rsidR="005553A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城乡居民医保的同学，不属于本次参保对象（浙江省</w:t>
      </w:r>
      <w:r w:rsidR="005553AF" w:rsidRPr="00E84A6B">
        <w:rPr>
          <w:rFonts w:ascii="宋体" w:eastAsia="宋体" w:hAnsi="宋体" w:cs="宋体"/>
          <w:b/>
          <w:color w:val="000000"/>
          <w:kern w:val="0"/>
          <w:sz w:val="24"/>
          <w:shd w:val="clear" w:color="auto" w:fill="FFFFFF"/>
        </w:rPr>
        <w:t>不可两地参保</w:t>
      </w:r>
      <w:r w:rsidR="005553A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）</w:t>
      </w:r>
      <w:r w:rsidR="002E380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，学院</w:t>
      </w:r>
      <w:r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不要上报</w:t>
      </w:r>
      <w:r w:rsidR="005553AF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。</w:t>
      </w:r>
    </w:p>
    <w:p w:rsidR="00641CED" w:rsidRPr="00E84A6B" w:rsidRDefault="00641CED">
      <w:pPr>
        <w:widowControl/>
        <w:spacing w:before="75" w:after="75" w:line="495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4、</w:t>
      </w:r>
      <w:r w:rsidRPr="00E84A6B"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  <w:t>请各学院认真排摸，应报尽报，不要遗漏（包括退役、复学和转专业等情况的学生）</w:t>
      </w:r>
      <w:r w:rsidR="00601C38"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  <w:t>。</w:t>
      </w:r>
    </w:p>
    <w:p w:rsidR="0048544B" w:rsidRPr="00E84A6B" w:rsidRDefault="002E3804">
      <w:pPr>
        <w:widowControl/>
        <w:spacing w:before="75" w:after="75" w:line="49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二、</w:t>
      </w:r>
      <w:r w:rsidR="005553AF"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缴费标准</w:t>
      </w:r>
      <w:r w:rsidR="005553AF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：</w:t>
      </w:r>
    </w:p>
    <w:p w:rsidR="0048544B" w:rsidRPr="00E84A6B" w:rsidRDefault="002E3804" w:rsidP="002E3804">
      <w:pPr>
        <w:widowControl/>
        <w:spacing w:before="75" w:after="75" w:line="495" w:lineRule="atLeast"/>
        <w:ind w:firstLineChars="200" w:firstLine="48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  <w:t>2025年度大学生城乡居民医保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个人缴费标准为180元/年</w:t>
      </w:r>
      <w:r w:rsidRPr="00E84A6B"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  <w:t>。</w:t>
      </w:r>
      <w:r w:rsidRPr="00E84A6B"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本市户籍</w:t>
      </w:r>
      <w:r w:rsidRPr="00E84A6B">
        <w:rPr>
          <w:rFonts w:ascii="宋体" w:eastAsia="宋体" w:hAnsi="宋体" w:cs="宋体" w:hint="eastAsia"/>
          <w:bCs/>
          <w:color w:val="000000"/>
          <w:kern w:val="0"/>
          <w:sz w:val="24"/>
          <w:shd w:val="clear" w:color="auto" w:fill="FFFFFF"/>
        </w:rPr>
        <w:t>符合条件的困难大学生，个人缴费部分全额由财政补助。具体是：享受国家定期抚恤补助的优抚对象，一、二级重度残疾人员，最低生活保障家庭成员（含困境儿童），最低生活保障边缘家庭成员，特困供养人员，孤儿。</w:t>
      </w:r>
    </w:p>
    <w:p w:rsidR="00641CED" w:rsidRPr="00E84A6B" w:rsidRDefault="002E3804" w:rsidP="00641CED">
      <w:pPr>
        <w:widowControl/>
        <w:spacing w:before="75" w:after="75" w:line="49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</w:rPr>
      </w:pPr>
      <w:r w:rsidRPr="00E84A6B"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三、</w:t>
      </w:r>
      <w:r w:rsidR="005553AF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缴费方式</w:t>
      </w:r>
      <w:r w:rsidR="005553AF" w:rsidRPr="00E84A6B">
        <w:rPr>
          <w:rFonts w:ascii="宋体" w:eastAsia="宋体" w:hAnsi="宋体" w:cs="宋体" w:hint="eastAsia"/>
          <w:color w:val="333333"/>
          <w:kern w:val="0"/>
          <w:sz w:val="24"/>
        </w:rPr>
        <w:t>：</w:t>
      </w:r>
    </w:p>
    <w:p w:rsidR="0048544B" w:rsidRPr="00E84A6B" w:rsidRDefault="009271B3" w:rsidP="00641CED">
      <w:pPr>
        <w:widowControl/>
        <w:spacing w:before="75" w:after="75" w:line="495" w:lineRule="atLeas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E84A6B">
        <w:rPr>
          <w:rFonts w:ascii="宋体" w:eastAsia="宋体" w:hAnsi="宋体" w:cs="宋体" w:hint="eastAsia"/>
          <w:color w:val="333333"/>
          <w:kern w:val="0"/>
          <w:sz w:val="24"/>
        </w:rPr>
        <w:t>线上自</w:t>
      </w:r>
      <w:r w:rsidR="005F180F" w:rsidRPr="00E84A6B">
        <w:rPr>
          <w:rFonts w:ascii="宋体" w:eastAsia="宋体" w:hAnsi="宋体" w:cs="宋体" w:hint="eastAsia"/>
          <w:color w:val="333333"/>
          <w:kern w:val="0"/>
          <w:sz w:val="24"/>
        </w:rPr>
        <w:t>主</w:t>
      </w:r>
      <w:r w:rsidRPr="00E84A6B">
        <w:rPr>
          <w:rFonts w:ascii="宋体" w:eastAsia="宋体" w:hAnsi="宋体" w:cs="宋体" w:hint="eastAsia"/>
          <w:color w:val="333333"/>
          <w:kern w:val="0"/>
          <w:sz w:val="24"/>
        </w:rPr>
        <w:t>缴费。</w:t>
      </w:r>
      <w:r w:rsidR="00C3362F" w:rsidRPr="00E84A6B">
        <w:rPr>
          <w:rFonts w:ascii="宋体" w:eastAsia="宋体" w:hAnsi="宋体" w:cs="宋体" w:hint="eastAsia"/>
          <w:color w:val="333333"/>
          <w:kern w:val="0"/>
          <w:sz w:val="24"/>
        </w:rPr>
        <w:t>各学院</w:t>
      </w:r>
      <w:r w:rsidR="005553AF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通知</w:t>
      </w:r>
      <w:r w:rsidR="00AC5050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新增参保</w:t>
      </w:r>
      <w:r w:rsidR="005553AF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学生暂时不要缴费（</w:t>
      </w:r>
      <w:r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等学校完成统一参保后，根据宁波</w:t>
      </w:r>
      <w:r w:rsidR="00C3362F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市医保局</w:t>
      </w:r>
      <w:r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通知</w:t>
      </w:r>
      <w:r w:rsidR="00C3362F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可进行缴费后</w:t>
      </w:r>
      <w:r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再去</w:t>
      </w:r>
      <w:r w:rsidRPr="00E84A6B">
        <w:rPr>
          <w:rFonts w:ascii="宋体" w:eastAsia="宋体" w:hAnsi="宋体" w:cs="宋体" w:hint="eastAsia"/>
          <w:color w:val="333333"/>
          <w:kern w:val="0"/>
          <w:sz w:val="24"/>
        </w:rPr>
        <w:t>线上缴费</w:t>
      </w:r>
      <w:r w:rsidR="005553AF" w:rsidRPr="00E84A6B">
        <w:rPr>
          <w:rFonts w:ascii="宋体" w:eastAsia="宋体" w:hAnsi="宋体" w:cs="宋体" w:hint="eastAsia"/>
          <w:color w:val="333333"/>
          <w:kern w:val="0"/>
          <w:sz w:val="24"/>
        </w:rPr>
        <w:t>）</w:t>
      </w:r>
      <w:r w:rsidR="00641CED" w:rsidRPr="00E84A6B">
        <w:rPr>
          <w:rFonts w:ascii="宋体" w:eastAsia="宋体" w:hAnsi="宋体" w:cs="宋体" w:hint="eastAsia"/>
          <w:color w:val="333333"/>
          <w:kern w:val="0"/>
          <w:sz w:val="24"/>
        </w:rPr>
        <w:t>。</w:t>
      </w:r>
      <w:r w:rsidR="00EA5E02" w:rsidRPr="00E84A6B">
        <w:rPr>
          <w:rFonts w:ascii="宋体" w:eastAsia="宋体" w:hAnsi="宋体" w:cs="宋体" w:hint="eastAsia"/>
          <w:color w:val="333333"/>
          <w:kern w:val="0"/>
          <w:sz w:val="24"/>
        </w:rPr>
        <w:t>可通过</w:t>
      </w:r>
      <w:r w:rsidR="00172CB4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支付宝</w:t>
      </w:r>
      <w:r w:rsid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搜索</w:t>
      </w:r>
      <w:r w:rsidR="00172CB4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“宁</w:t>
      </w:r>
      <w:r w:rsidR="00172CB4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lastRenderedPageBreak/>
        <w:t>波社保缴费</w:t>
      </w:r>
      <w:r w:rsidR="002C5A8C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”</w:t>
      </w:r>
      <w:r w:rsidR="002C5A8C" w:rsidRPr="00E84A6B">
        <w:rPr>
          <w:rFonts w:ascii="宋体" w:eastAsia="宋体" w:hAnsi="宋体" w:cs="宋体" w:hint="eastAsia"/>
          <w:color w:val="333333"/>
          <w:kern w:val="0"/>
          <w:sz w:val="24"/>
        </w:rPr>
        <w:t>、</w:t>
      </w:r>
      <w:r w:rsidR="00EA5E02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“宁波税务”微信公众号</w:t>
      </w:r>
      <w:r w:rsidR="00EA5E02" w:rsidRPr="00E84A6B">
        <w:rPr>
          <w:rFonts w:ascii="宋体" w:eastAsia="宋体" w:hAnsi="宋体" w:cs="宋体" w:hint="eastAsia"/>
          <w:color w:val="333333"/>
          <w:kern w:val="0"/>
          <w:sz w:val="24"/>
        </w:rPr>
        <w:t>、</w:t>
      </w:r>
      <w:r w:rsidR="00EA5E02" w:rsidRPr="00E84A6B">
        <w:rPr>
          <w:rFonts w:ascii="宋体" w:eastAsia="宋体" w:hAnsi="宋体" w:cs="宋体" w:hint="eastAsia"/>
          <w:b/>
          <w:color w:val="333333"/>
          <w:kern w:val="0"/>
          <w:sz w:val="24"/>
        </w:rPr>
        <w:t>“宁波税务”APP</w:t>
      </w:r>
      <w:r w:rsidR="00EA5E02" w:rsidRPr="00E84A6B">
        <w:rPr>
          <w:rFonts w:ascii="宋体" w:eastAsia="宋体" w:hAnsi="宋体" w:cs="宋体" w:hint="eastAsia"/>
          <w:color w:val="333333"/>
          <w:kern w:val="0"/>
          <w:sz w:val="24"/>
        </w:rPr>
        <w:t>等线上缴纳</w:t>
      </w:r>
      <w:r w:rsidR="00FA0FF0" w:rsidRPr="00E84A6B">
        <w:rPr>
          <w:rFonts w:ascii="宋体" w:eastAsia="宋体" w:hAnsi="宋体" w:cs="宋体" w:hint="eastAsia"/>
          <w:color w:val="333333"/>
          <w:kern w:val="0"/>
          <w:sz w:val="24"/>
        </w:rPr>
        <w:t>。请各学院积极落实缴费工作，不要</w:t>
      </w:r>
      <w:r w:rsidR="00A6738D" w:rsidRPr="00E84A6B">
        <w:rPr>
          <w:rFonts w:ascii="宋体" w:eastAsia="宋体" w:hAnsi="宋体" w:cs="宋体" w:hint="eastAsia"/>
          <w:color w:val="333333"/>
          <w:kern w:val="0"/>
          <w:sz w:val="24"/>
        </w:rPr>
        <w:t>漏保</w:t>
      </w:r>
      <w:r w:rsidR="00FA0FF0" w:rsidRPr="00E84A6B">
        <w:rPr>
          <w:rFonts w:ascii="宋体" w:eastAsia="宋体" w:hAnsi="宋体" w:cs="宋体" w:hint="eastAsia"/>
          <w:color w:val="333333"/>
          <w:kern w:val="0"/>
          <w:sz w:val="24"/>
        </w:rPr>
        <w:t>。</w:t>
      </w:r>
    </w:p>
    <w:p w:rsidR="0048544B" w:rsidRPr="00E84A6B" w:rsidRDefault="00BD20F6">
      <w:pPr>
        <w:widowControl/>
        <w:spacing w:before="75" w:after="75" w:line="495" w:lineRule="atLeas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  <w:r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（四）</w:t>
      </w:r>
      <w:r w:rsidR="005553AF" w:rsidRPr="00E84A6B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其他注意事项：</w:t>
      </w:r>
    </w:p>
    <w:p w:rsidR="0048544B" w:rsidRPr="00E84A6B" w:rsidRDefault="005553AF">
      <w:pPr>
        <w:widowControl/>
        <w:spacing w:before="75" w:after="75" w:line="495" w:lineRule="atLeast"/>
        <w:ind w:firstLine="588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1、根据宁波市人力资源和社会保障局</w:t>
      </w:r>
      <w:r w:rsid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通知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，学生城乡医疗参保人员可</w:t>
      </w:r>
      <w:r w:rsid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自愿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申领宁波市社会保障卡（实体卡），该卡具有金融储蓄功能，参保学生可</w:t>
      </w:r>
      <w:r w:rsidR="004D42D6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前往银行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网点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申请办理社会保障卡申领手续。同时，</w:t>
      </w:r>
      <w:r w:rsidR="00054F30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学生可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在支付宝、浙里办APP开通医保电子凭证，开通后，可无需携带社保卡即可就医。</w:t>
      </w:r>
    </w:p>
    <w:p w:rsidR="0048544B" w:rsidRPr="00E84A6B" w:rsidRDefault="005553AF">
      <w:pPr>
        <w:widowControl/>
        <w:spacing w:before="75" w:after="75" w:line="495" w:lineRule="atLeast"/>
        <w:ind w:firstLine="588"/>
        <w:jc w:val="left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</w:pP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2、首次参保学生的医保待遇要在202</w:t>
      </w:r>
      <w:r w:rsidR="00AD569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年1月1日正式开通（即可以正常刷电子医保卡享受待遇），开通前</w:t>
      </w:r>
      <w:r w:rsidR="00CE0E6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享受待遇期间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产生的费用</w:t>
      </w:r>
      <w:r w:rsidR="00CE0E6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于</w:t>
      </w:r>
      <w:r w:rsidR="00CE0E69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202</w:t>
      </w:r>
      <w:r w:rsidR="00AD569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CE0E69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年1月1日</w:t>
      </w:r>
      <w:r w:rsidR="00C95CC7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起</w:t>
      </w:r>
      <w:r w:rsidR="00CE0E69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开始可以进行报销，可自行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通过浙里办APP</w:t>
      </w:r>
      <w:r w:rsidR="00CE0E6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或线下</w:t>
      </w:r>
      <w:r w:rsidR="00CE0E69"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区医保经办机构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申请报销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（202</w:t>
      </w:r>
      <w:r w:rsidR="00AD569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年9月前未参保的学生，在新学年开始办理202</w:t>
      </w:r>
      <w:r w:rsidR="003438C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年参保缴费手续后，待遇从202</w:t>
      </w:r>
      <w:r w:rsidR="003438C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年9月1日起享受，至202</w:t>
      </w:r>
      <w:r w:rsidR="003438C9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 w:rsidR="009F6934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年12月31日止）</w:t>
      </w:r>
      <w:r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48544B" w:rsidRPr="00E84A6B" w:rsidRDefault="00054F30">
      <w:pPr>
        <w:widowControl/>
        <w:spacing w:before="75" w:after="75" w:line="495" w:lineRule="atLeast"/>
        <w:ind w:firstLine="588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E84A6B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3</w:t>
      </w:r>
      <w:r w:rsidR="005553AF" w:rsidRPr="00E84A6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、各学院要高度重视学生参保工作，精心组织，广泛宣传，尤其要通过多种途径向休学学生、复学学生、实习生等传达相关信息，保证宣传到位，让广大学生充分认识参加国家医疗保险的重要性。</w:t>
      </w:r>
      <w:r w:rsidR="00601C38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详情可登录学校信息门户网站。</w:t>
      </w:r>
    </w:p>
    <w:p w:rsidR="00CF0FF0" w:rsidRPr="00FF0886" w:rsidRDefault="00CF0FF0" w:rsidP="00907D13">
      <w:pPr>
        <w:widowControl/>
        <w:tabs>
          <w:tab w:val="left" w:pos="6434"/>
          <w:tab w:val="right" w:pos="8306"/>
        </w:tabs>
        <w:spacing w:before="75" w:after="75" w:line="495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</w:p>
    <w:p w:rsidR="0048544B" w:rsidRPr="00907D13" w:rsidRDefault="005553AF" w:rsidP="00907D13">
      <w:pPr>
        <w:widowControl/>
        <w:tabs>
          <w:tab w:val="left" w:pos="6434"/>
          <w:tab w:val="right" w:pos="8306"/>
        </w:tabs>
        <w:spacing w:before="75" w:after="75" w:line="495" w:lineRule="atLeast"/>
        <w:ind w:left="600" w:firstLineChars="2600" w:firstLine="624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学生工作部</w:t>
      </w:r>
    </w:p>
    <w:p w:rsidR="0048544B" w:rsidRPr="00907D13" w:rsidRDefault="005553AF">
      <w:pPr>
        <w:widowControl/>
        <w:spacing w:before="75" w:after="75" w:line="495" w:lineRule="atLeast"/>
        <w:jc w:val="righ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202</w:t>
      </w:r>
      <w:r w:rsidR="003438C9"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383273" w:rsidRPr="00907D13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10</w:t>
      </w:r>
      <w:r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383273" w:rsidRPr="00907D13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1</w:t>
      </w:r>
      <w:r w:rsidR="003438C9"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7</w:t>
      </w:r>
      <w:r w:rsidRPr="00907D13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48544B" w:rsidRPr="00907D13" w:rsidRDefault="005553AF" w:rsidP="00907D13">
      <w:pPr>
        <w:widowControl/>
        <w:spacing w:line="360" w:lineRule="auto"/>
        <w:jc w:val="right"/>
        <w:rPr>
          <w:rFonts w:asciiTheme="minorEastAsia" w:hAnsiTheme="minorEastAsia" w:cstheme="minorEastAsia" w:hint="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 xml:space="preserve">                                                   </w:t>
      </w:r>
    </w:p>
    <w:sectPr w:rsidR="0048544B" w:rsidRPr="00907D13" w:rsidSect="0040489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3693" w:rsidRDefault="00C53693" w:rsidP="008C27C8">
      <w:r>
        <w:separator/>
      </w:r>
    </w:p>
  </w:endnote>
  <w:endnote w:type="continuationSeparator" w:id="0">
    <w:p w:rsidR="00C53693" w:rsidRDefault="00C53693" w:rsidP="008C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3693" w:rsidRDefault="00C53693" w:rsidP="008C27C8">
      <w:r>
        <w:separator/>
      </w:r>
    </w:p>
  </w:footnote>
  <w:footnote w:type="continuationSeparator" w:id="0">
    <w:p w:rsidR="00C53693" w:rsidRDefault="00C53693" w:rsidP="008C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492B7417"/>
    <w:rsid w:val="00013A0A"/>
    <w:rsid w:val="00044436"/>
    <w:rsid w:val="00054F30"/>
    <w:rsid w:val="000562AA"/>
    <w:rsid w:val="000734CE"/>
    <w:rsid w:val="00074B2C"/>
    <w:rsid w:val="000870F7"/>
    <w:rsid w:val="000B41D8"/>
    <w:rsid w:val="000D4B44"/>
    <w:rsid w:val="001001F4"/>
    <w:rsid w:val="00125645"/>
    <w:rsid w:val="0013047F"/>
    <w:rsid w:val="001361DF"/>
    <w:rsid w:val="00170826"/>
    <w:rsid w:val="00172CB4"/>
    <w:rsid w:val="00190B2B"/>
    <w:rsid w:val="001B587A"/>
    <w:rsid w:val="001B75F2"/>
    <w:rsid w:val="001E034A"/>
    <w:rsid w:val="001E0E8F"/>
    <w:rsid w:val="001F0360"/>
    <w:rsid w:val="00201CA5"/>
    <w:rsid w:val="00235490"/>
    <w:rsid w:val="002C5A8C"/>
    <w:rsid w:val="002E00AB"/>
    <w:rsid w:val="002E3804"/>
    <w:rsid w:val="003108D8"/>
    <w:rsid w:val="0033141B"/>
    <w:rsid w:val="003438C9"/>
    <w:rsid w:val="00346060"/>
    <w:rsid w:val="00353427"/>
    <w:rsid w:val="00361681"/>
    <w:rsid w:val="00383273"/>
    <w:rsid w:val="0038780A"/>
    <w:rsid w:val="00390413"/>
    <w:rsid w:val="003A448A"/>
    <w:rsid w:val="003A460E"/>
    <w:rsid w:val="003D309B"/>
    <w:rsid w:val="003F1AF5"/>
    <w:rsid w:val="00403DEC"/>
    <w:rsid w:val="0040489C"/>
    <w:rsid w:val="0043244D"/>
    <w:rsid w:val="00463D8A"/>
    <w:rsid w:val="0048544B"/>
    <w:rsid w:val="004D42D6"/>
    <w:rsid w:val="004E64A9"/>
    <w:rsid w:val="005553AF"/>
    <w:rsid w:val="00583859"/>
    <w:rsid w:val="00591128"/>
    <w:rsid w:val="005C0A05"/>
    <w:rsid w:val="005C6ED6"/>
    <w:rsid w:val="005D3196"/>
    <w:rsid w:val="005F180F"/>
    <w:rsid w:val="00601C38"/>
    <w:rsid w:val="006046F4"/>
    <w:rsid w:val="00641CED"/>
    <w:rsid w:val="00643772"/>
    <w:rsid w:val="00651F0A"/>
    <w:rsid w:val="00664829"/>
    <w:rsid w:val="00677981"/>
    <w:rsid w:val="006A4757"/>
    <w:rsid w:val="00700AA7"/>
    <w:rsid w:val="00720905"/>
    <w:rsid w:val="00733496"/>
    <w:rsid w:val="0074590A"/>
    <w:rsid w:val="007771BD"/>
    <w:rsid w:val="007B5442"/>
    <w:rsid w:val="00830275"/>
    <w:rsid w:val="008A1559"/>
    <w:rsid w:val="008B7D99"/>
    <w:rsid w:val="008C27C8"/>
    <w:rsid w:val="008F2282"/>
    <w:rsid w:val="00907D13"/>
    <w:rsid w:val="009108EE"/>
    <w:rsid w:val="009271B3"/>
    <w:rsid w:val="009337BB"/>
    <w:rsid w:val="0096374C"/>
    <w:rsid w:val="00970187"/>
    <w:rsid w:val="009750D7"/>
    <w:rsid w:val="00996B30"/>
    <w:rsid w:val="009A08A7"/>
    <w:rsid w:val="009C0000"/>
    <w:rsid w:val="009C7C22"/>
    <w:rsid w:val="009E190B"/>
    <w:rsid w:val="009F0FA9"/>
    <w:rsid w:val="009F6934"/>
    <w:rsid w:val="00A53A0C"/>
    <w:rsid w:val="00A6738D"/>
    <w:rsid w:val="00AA3545"/>
    <w:rsid w:val="00AB20C0"/>
    <w:rsid w:val="00AC3A7E"/>
    <w:rsid w:val="00AC5050"/>
    <w:rsid w:val="00AC7F73"/>
    <w:rsid w:val="00AD5699"/>
    <w:rsid w:val="00B7293A"/>
    <w:rsid w:val="00B86626"/>
    <w:rsid w:val="00B9086C"/>
    <w:rsid w:val="00BB556F"/>
    <w:rsid w:val="00BD20F6"/>
    <w:rsid w:val="00BD78F8"/>
    <w:rsid w:val="00C25FEF"/>
    <w:rsid w:val="00C32AE1"/>
    <w:rsid w:val="00C3362F"/>
    <w:rsid w:val="00C53693"/>
    <w:rsid w:val="00C95CC7"/>
    <w:rsid w:val="00CB1735"/>
    <w:rsid w:val="00CE0E69"/>
    <w:rsid w:val="00CF0FF0"/>
    <w:rsid w:val="00D12850"/>
    <w:rsid w:val="00D32211"/>
    <w:rsid w:val="00DF5C56"/>
    <w:rsid w:val="00E13977"/>
    <w:rsid w:val="00E47E6A"/>
    <w:rsid w:val="00E544A1"/>
    <w:rsid w:val="00E5558A"/>
    <w:rsid w:val="00E62BB3"/>
    <w:rsid w:val="00E84A6B"/>
    <w:rsid w:val="00E945CD"/>
    <w:rsid w:val="00EA5E02"/>
    <w:rsid w:val="00F0562B"/>
    <w:rsid w:val="00F323E1"/>
    <w:rsid w:val="00F703EE"/>
    <w:rsid w:val="00FA0FF0"/>
    <w:rsid w:val="00FC1054"/>
    <w:rsid w:val="00FF0886"/>
    <w:rsid w:val="00FF2066"/>
    <w:rsid w:val="27DA5CA2"/>
    <w:rsid w:val="492B7417"/>
    <w:rsid w:val="5E3D7CDB"/>
    <w:rsid w:val="66F2592B"/>
    <w:rsid w:val="67B62209"/>
    <w:rsid w:val="72EF2DFC"/>
    <w:rsid w:val="73F376CA"/>
    <w:rsid w:val="7C7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8A4DF7"/>
  <w15:docId w15:val="{9A3FDF1F-16B1-4FA6-9C77-8481C0C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47E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27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8C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27C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47E6A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a8"/>
    <w:semiHidden/>
    <w:unhideWhenUsed/>
    <w:rsid w:val="003D309B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D30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admin</cp:lastModifiedBy>
  <cp:revision>79</cp:revision>
  <cp:lastPrinted>2023-10-13T08:17:00Z</cp:lastPrinted>
  <dcterms:created xsi:type="dcterms:W3CDTF">2022-09-26T09:11:00Z</dcterms:created>
  <dcterms:modified xsi:type="dcterms:W3CDTF">2024-10-18T07:30:00Z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5AB18C06C4B4481BBC070D0090A02EAC</vt:lpwstr>
  </property>
</Properties>
</file>